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5C3E">
      <w:pPr>
        <w:numPr>
          <w:ilvl w:val="0"/>
          <w:numId w:val="0"/>
        </w:numPr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  <w:r>
        <w:rPr>
          <w:rFonts w:hint="eastAsia" w:ascii="宋体" w:hAnsi="宋体"/>
          <w:bCs/>
          <w:i w:val="0"/>
          <w:color w:val="auto"/>
          <w:sz w:val="32"/>
          <w:szCs w:val="32"/>
        </w:rPr>
        <w:t>服务需求响应</w:t>
      </w:r>
    </w:p>
    <w:p w14:paraId="3CCB6887">
      <w:pPr>
        <w:numPr>
          <w:ilvl w:val="0"/>
          <w:numId w:val="0"/>
        </w:numPr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  <w:bookmarkStart w:id="0" w:name="_GoBack"/>
      <w:bookmarkEnd w:id="0"/>
    </w:p>
    <w:tbl>
      <w:tblPr>
        <w:tblStyle w:val="2"/>
        <w:tblW w:w="962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020"/>
        <w:gridCol w:w="1133"/>
        <w:gridCol w:w="1840"/>
        <w:gridCol w:w="1700"/>
      </w:tblGrid>
      <w:tr w14:paraId="17E9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647F17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33F376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  <w:t>服务需求项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1A7002D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响应类别</w:t>
            </w:r>
          </w:p>
        </w:tc>
        <w:tc>
          <w:tcPr>
            <w:tcW w:w="1840" w:type="dxa"/>
            <w:noWrap w:val="0"/>
            <w:vAlign w:val="center"/>
          </w:tcPr>
          <w:p w14:paraId="3BBF711A">
            <w:pPr>
              <w:adjustRightInd w:val="0"/>
              <w:spacing w:line="440" w:lineRule="exact"/>
              <w:jc w:val="center"/>
              <w:textAlignment w:val="baseline"/>
              <w:outlineLvl w:val="1"/>
              <w:rPr>
                <w:rFonts w:ascii="宋体" w:hAnsi="宋体"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响应情况</w:t>
            </w:r>
          </w:p>
          <w:p w14:paraId="1A4875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（满足/不满足）</w:t>
            </w:r>
          </w:p>
        </w:tc>
        <w:tc>
          <w:tcPr>
            <w:tcW w:w="1700" w:type="dxa"/>
            <w:noWrap w:val="0"/>
            <w:vAlign w:val="center"/>
          </w:tcPr>
          <w:p w14:paraId="60818CC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备注</w:t>
            </w:r>
          </w:p>
        </w:tc>
      </w:tr>
      <w:tr w14:paraId="3712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6D62068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A7DDBD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报案至事故勘察员到达事故现场时间不超过30分钟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421992E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21AC7D7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DE18F7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7289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304FABD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32E2AB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承诺可执行统一出单全国通赔车险服务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66F1272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76EA647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A9CE8B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28C3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21A8DE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456AD2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承诺1万元以上案件，需经过投保人认可后在进行赔付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33F60C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38CAD14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D6BEAD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8B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EBB129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FFD3712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同一被保险人名下车辆发生双方或多方保险事故时，互为第三者，发生事故正常赔付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3864753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326C08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A4FFE0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B3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76598500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0B9E0AB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承诺不得以车辆性质拒绝定损和理赔，定损理赔时免于使用性质复核，并不以车辆多次转租、使用性质改变为案件拒赔之考虑因素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223A797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7BCBDE9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D76AEF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86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3677C0C0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7917485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提供免费车辆非道路救援服务（前提条件投保车损险）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09436EE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3C71601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01A567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0F48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70A8331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D6B848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承诺3000元以下事故免现场赔付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5A43FE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1AA3828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CC58A6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4F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36E5D3C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7932F35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投保人遇紧急情况需立即承保，鉴于双方合作关系，保险人应配合投保人先行完成车辆承保工作，保障投保车辆正常运营（出单保费规模）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43034BB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4D04EE5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B3E4E5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52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FF22A8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25B9F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  <w:t>紧急情况提供60天内垫付保费服务（金额不低于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  <w:t>万元）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0E5C79F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12CA4B4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536965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3293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16E6F859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195E3D">
            <w:pPr>
              <w:widowControl/>
              <w:spacing w:line="240" w:lineRule="auto"/>
              <w:jc w:val="center"/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  <w:lang w:eastAsia="zh-CN"/>
              </w:rPr>
              <w:t>公司车辆主要用于租赁给各居委（办、乡镇）及国企单位，供其公务出行使用，无需出具非营运证明。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6B7AFC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74B8EF5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9D5F83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7397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05207EC7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E45DC2F">
            <w:pPr>
              <w:widowControl/>
              <w:spacing w:line="240" w:lineRule="auto"/>
              <w:jc w:val="center"/>
              <w:rPr>
                <w:rFonts w:hint="eastAsia" w:ascii="宋体" w:hAnsi="宋体" w:eastAsiaTheme="minorEastAsia" w:cstheme="minorBidi"/>
                <w:b w:val="0"/>
                <w:bCs/>
                <w:i w:val="0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其他服务承诺或优惠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7A079DA1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1A29F794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noWrap w:val="0"/>
            <w:vAlign w:val="center"/>
          </w:tcPr>
          <w:p w14:paraId="1B2EA592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AAE00B5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3DA755A1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69E559F6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2B5D7ECA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1CA7B4FE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3A81B892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28BAA43B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6C484C8F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69195070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34545154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577F8B31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15B76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948A0"/>
    <w:rsid w:val="47D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2025-12-26T08:59:00Z</dcterms:created>
  <dc:creator>是时候改个名字了</dc:creator>
  <cp:lastModifiedBy>是时候改个名字了</cp:lastModifiedBy>
  <dcterms:modified xsi:type="dcterms:W3CDTF">2025-12-26T08:59:22Z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C3DB0696EE5B41F4A8BEEF2B58E0C24A_11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